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3B0A8" w14:textId="2CD07100" w:rsidR="004C67E5" w:rsidRPr="00DC3C3C" w:rsidRDefault="004C67E5" w:rsidP="004C67E5">
      <w:pPr>
        <w:spacing w:after="160" w:line="259" w:lineRule="auto"/>
        <w:jc w:val="center"/>
        <w:rPr>
          <w:b/>
        </w:rPr>
      </w:pPr>
      <w:bookmarkStart w:id="0" w:name="_GoBack"/>
      <w:bookmarkEnd w:id="0"/>
      <w:r w:rsidRPr="00DC3C3C">
        <w:rPr>
          <w:b/>
        </w:rPr>
        <w:t xml:space="preserve">Template Letter from You to </w:t>
      </w:r>
      <w:r w:rsidR="00F223FC" w:rsidRPr="00DC3C3C">
        <w:rPr>
          <w:b/>
        </w:rPr>
        <w:t>the Health Plan Administrator Asking for Preauthorization</w:t>
      </w:r>
    </w:p>
    <w:p w14:paraId="06FCEA10" w14:textId="29577A4F" w:rsidR="004C67E5" w:rsidRDefault="004C67E5" w:rsidP="004C67E5">
      <w:pPr>
        <w:spacing w:after="160" w:line="259" w:lineRule="auto"/>
        <w:jc w:val="center"/>
        <w:rPr>
          <w:b/>
        </w:rPr>
      </w:pPr>
      <w:r w:rsidRPr="00DC3C3C">
        <w:rPr>
          <w:b/>
        </w:rPr>
        <w:t xml:space="preserve">[FOR SELF-FUNDED PLANS </w:t>
      </w:r>
      <w:r w:rsidRPr="00DC3C3C">
        <w:rPr>
          <w:b/>
          <w:u w:val="single"/>
        </w:rPr>
        <w:t>WITH</w:t>
      </w:r>
      <w:r w:rsidR="00F223FC" w:rsidRPr="00DC3C3C">
        <w:rPr>
          <w:b/>
          <w:u w:val="single"/>
        </w:rPr>
        <w:t>OUT</w:t>
      </w:r>
      <w:r w:rsidRPr="00DC3C3C">
        <w:rPr>
          <w:b/>
        </w:rPr>
        <w:t xml:space="preserve"> EXCLUSIONS]</w:t>
      </w:r>
    </w:p>
    <w:p w14:paraId="2FAC10CD" w14:textId="77777777" w:rsidR="004C67E5" w:rsidRDefault="004C67E5" w:rsidP="004C67E5">
      <w:pPr>
        <w:spacing w:after="160" w:line="259" w:lineRule="auto"/>
        <w:rPr>
          <w:b/>
        </w:rPr>
      </w:pPr>
    </w:p>
    <w:p w14:paraId="770D49A8" w14:textId="77777777" w:rsidR="004C67E5" w:rsidRDefault="004C67E5" w:rsidP="004C67E5">
      <w:pPr>
        <w:spacing w:after="160" w:line="259" w:lineRule="auto"/>
        <w:rPr>
          <w:b/>
        </w:rPr>
      </w:pPr>
      <w:r>
        <w:rPr>
          <w:b/>
        </w:rPr>
        <w:t xml:space="preserve">INSTRUCTIONS: </w:t>
      </w:r>
    </w:p>
    <w:p w14:paraId="53CFB348" w14:textId="2C311E6F" w:rsidR="004C67E5" w:rsidRPr="00BE5B48" w:rsidRDefault="004C67E5" w:rsidP="004C67E5">
      <w:pPr>
        <w:pStyle w:val="ListParagraph"/>
        <w:numPr>
          <w:ilvl w:val="0"/>
          <w:numId w:val="2"/>
        </w:numPr>
        <w:spacing w:after="160" w:line="259" w:lineRule="auto"/>
        <w:rPr>
          <w:b/>
        </w:rPr>
      </w:pPr>
      <w:r>
        <w:rPr>
          <w:b/>
        </w:rPr>
        <w:t xml:space="preserve">Only use this template </w:t>
      </w:r>
      <w:r w:rsidRPr="00BE5B48">
        <w:rPr>
          <w:b/>
          <w:u w:val="single"/>
        </w:rPr>
        <w:t>if you have a self-funded plan that</w:t>
      </w:r>
      <w:r w:rsidR="00F223FC">
        <w:rPr>
          <w:b/>
          <w:u w:val="single"/>
        </w:rPr>
        <w:t xml:space="preserve"> DOES NOT have</w:t>
      </w:r>
      <w:r w:rsidRPr="00BE5B48">
        <w:rPr>
          <w:b/>
          <w:u w:val="single"/>
        </w:rPr>
        <w:t xml:space="preserve"> an exclusion</w:t>
      </w:r>
      <w:r>
        <w:rPr>
          <w:b/>
        </w:rPr>
        <w:t>. To understand whether you have a self-funded plan, and for resources on approaching your employer, please refer to this page.</w:t>
      </w:r>
    </w:p>
    <w:p w14:paraId="621DB7BB" w14:textId="77777777" w:rsidR="004C67E5" w:rsidRPr="003F7AA3" w:rsidRDefault="004C67E5" w:rsidP="004C67E5">
      <w:pPr>
        <w:pStyle w:val="ListParagraph"/>
        <w:numPr>
          <w:ilvl w:val="0"/>
          <w:numId w:val="2"/>
        </w:numPr>
        <w:spacing w:after="160" w:line="259" w:lineRule="auto"/>
        <w:rPr>
          <w:b/>
        </w:rPr>
      </w:pPr>
      <w:r>
        <w:t>Fill in everything in bold with your information.</w:t>
      </w:r>
    </w:p>
    <w:p w14:paraId="174F4E5F" w14:textId="5B9E2967" w:rsidR="00896945" w:rsidRDefault="004C67E5" w:rsidP="008B6C34">
      <w:pPr>
        <w:pStyle w:val="ListParagraph"/>
        <w:numPr>
          <w:ilvl w:val="0"/>
          <w:numId w:val="2"/>
        </w:numPr>
        <w:spacing w:after="160" w:line="259" w:lineRule="auto"/>
      </w:pPr>
      <w:r>
        <w:t>In the section that says “</w:t>
      </w:r>
      <w:r w:rsidRPr="003F7AA3">
        <w:rPr>
          <w:b/>
        </w:rPr>
        <w:t>WHY</w:t>
      </w:r>
      <w:r w:rsidRPr="00B02A5F">
        <w:rPr>
          <w:b/>
        </w:rPr>
        <w:t xml:space="preserve"> YOU NEED THE PROCEDURE</w:t>
      </w:r>
      <w:r>
        <w:t xml:space="preserve">,” include </w:t>
      </w:r>
      <w:r w:rsidRPr="003F7AA3">
        <w:t>a brief description (about one paragraph) describing why this treatment is medically necessary for you. Your doctor’s</w:t>
      </w:r>
      <w:r>
        <w:t xml:space="preserve"> or health care provider’s</w:t>
      </w:r>
      <w:r w:rsidRPr="003F7AA3">
        <w:t xml:space="preserve"> letter should discuss the medical necessity of the treatment in more detail, but this is an opportunity to put into your own words why you believe you need th</w:t>
      </w:r>
      <w:r>
        <w:t>is</w:t>
      </w:r>
      <w:r w:rsidRPr="003F7AA3">
        <w:t xml:space="preserve"> treatment. You can discuss why this procedure is a necessary step in your treatment for gender </w:t>
      </w:r>
      <w:proofErr w:type="spellStart"/>
      <w:r w:rsidRPr="003F7AA3">
        <w:t>dysphoria</w:t>
      </w:r>
      <w:proofErr w:type="spellEnd"/>
      <w:r w:rsidRPr="003F7AA3">
        <w:t xml:space="preserve">, and why you meet the criteria for the treatment in your insurance plan’s documents or in the </w:t>
      </w:r>
      <w:r>
        <w:t>World Professional Association for Transgender Health (</w:t>
      </w:r>
      <w:r w:rsidRPr="002A0FA3">
        <w:t xml:space="preserve">WPATH) </w:t>
      </w:r>
      <w:hyperlink r:id="rId9" w:history="1">
        <w:r w:rsidRPr="002A0FA3">
          <w:rPr>
            <w:rStyle w:val="Hyperlink"/>
            <w:i/>
          </w:rPr>
          <w:t>Standards of Care</w:t>
        </w:r>
      </w:hyperlink>
      <w:r w:rsidR="005132E4">
        <w:t xml:space="preserve">. Additionally, you can </w:t>
      </w:r>
      <w:r w:rsidR="008B6C34">
        <w:t xml:space="preserve">refer to </w:t>
      </w:r>
      <w:r w:rsidR="00F223FC">
        <w:t xml:space="preserve">WPATH’s </w:t>
      </w:r>
      <w:hyperlink r:id="rId10" w:history="1">
        <w:r w:rsidR="00F223FC" w:rsidRPr="008B6C34">
          <w:rPr>
            <w:rStyle w:val="Hyperlink"/>
            <w:i/>
          </w:rPr>
          <w:t>Position Statement on Medical Necessity of Treatment, Sex Reassignment, and Insurance Coverage in the U.S.A</w:t>
        </w:r>
      </w:hyperlink>
      <w:r w:rsidR="00F223FC">
        <w:t xml:space="preserve">. </w:t>
      </w:r>
      <w:r w:rsidRPr="003F7AA3">
        <w:t xml:space="preserve">You can also discuss the impacts that not receiving the treatment can have on your gender </w:t>
      </w:r>
      <w:proofErr w:type="spellStart"/>
      <w:r w:rsidRPr="003F7AA3">
        <w:t>dysphoria</w:t>
      </w:r>
      <w:proofErr w:type="spellEnd"/>
      <w:r w:rsidRPr="003F7AA3">
        <w:t xml:space="preserve"> or your health overall</w:t>
      </w:r>
      <w:r>
        <w:t>.</w:t>
      </w:r>
    </w:p>
    <w:p w14:paraId="414719C9" w14:textId="77777777" w:rsidR="005132E4" w:rsidRDefault="00896945" w:rsidP="00896945">
      <w:pPr>
        <w:spacing w:after="160" w:line="259" w:lineRule="auto"/>
        <w:sectPr w:rsidR="005132E4">
          <w:footnotePr>
            <w:numRestart w:val="eachSect"/>
          </w:footnotePr>
          <w:pgSz w:w="12240" w:h="15840"/>
          <w:pgMar w:top="1440" w:right="1440" w:bottom="1440" w:left="1440" w:header="720" w:footer="720" w:gutter="0"/>
          <w:cols w:space="720"/>
          <w:docGrid w:linePitch="360"/>
        </w:sectPr>
      </w:pPr>
      <w:r>
        <w:br w:type="page"/>
      </w:r>
    </w:p>
    <w:p w14:paraId="4600F924" w14:textId="5FB50012" w:rsidR="00C836E1" w:rsidRPr="00B02A5F" w:rsidRDefault="005132E4" w:rsidP="00C836E1">
      <w:pPr>
        <w:jc w:val="right"/>
        <w:rPr>
          <w:b/>
        </w:rPr>
      </w:pPr>
      <w:r w:rsidRPr="00B02A5F">
        <w:rPr>
          <w:b/>
        </w:rPr>
        <w:lastRenderedPageBreak/>
        <w:t xml:space="preserve"> </w:t>
      </w:r>
      <w:r w:rsidR="00C836E1" w:rsidRPr="00B02A5F">
        <w:rPr>
          <w:b/>
        </w:rPr>
        <w:t>[YOUR NAME]</w:t>
      </w:r>
    </w:p>
    <w:p w14:paraId="2E62A2B4" w14:textId="77777777" w:rsidR="00C836E1" w:rsidRPr="00B02A5F" w:rsidRDefault="00C836E1" w:rsidP="00C836E1">
      <w:pPr>
        <w:jc w:val="right"/>
        <w:rPr>
          <w:b/>
        </w:rPr>
      </w:pPr>
      <w:r w:rsidRPr="00B02A5F">
        <w:rPr>
          <w:b/>
        </w:rPr>
        <w:t>[YOUR ADDRESS]</w:t>
      </w:r>
    </w:p>
    <w:p w14:paraId="1908A5BD" w14:textId="77777777" w:rsidR="00C836E1" w:rsidRPr="00B02A5F" w:rsidRDefault="00C836E1" w:rsidP="00C836E1">
      <w:pPr>
        <w:jc w:val="right"/>
        <w:rPr>
          <w:b/>
        </w:rPr>
      </w:pPr>
      <w:r w:rsidRPr="00B02A5F">
        <w:rPr>
          <w:b/>
        </w:rPr>
        <w:t>[YOUR PHONE NUMBER]</w:t>
      </w:r>
    </w:p>
    <w:p w14:paraId="7BCB0F09" w14:textId="77777777" w:rsidR="00C836E1" w:rsidRPr="00B02A5F" w:rsidRDefault="00C836E1" w:rsidP="00C836E1">
      <w:pPr>
        <w:jc w:val="right"/>
        <w:rPr>
          <w:b/>
        </w:rPr>
      </w:pPr>
      <w:r w:rsidRPr="00B02A5F">
        <w:rPr>
          <w:b/>
        </w:rPr>
        <w:t xml:space="preserve">[YOUR EMAIL ADDRESS] </w:t>
      </w:r>
    </w:p>
    <w:p w14:paraId="380CC222" w14:textId="77777777" w:rsidR="00C836E1" w:rsidRPr="00B02A5F" w:rsidRDefault="00C836E1" w:rsidP="00C836E1">
      <w:pPr>
        <w:jc w:val="right"/>
        <w:rPr>
          <w:b/>
        </w:rPr>
      </w:pPr>
    </w:p>
    <w:p w14:paraId="5C80618D" w14:textId="77777777" w:rsidR="00C836E1" w:rsidRPr="00B02A5F" w:rsidRDefault="00C836E1" w:rsidP="00C836E1">
      <w:pPr>
        <w:jc w:val="right"/>
        <w:rPr>
          <w:b/>
        </w:rPr>
      </w:pPr>
      <w:r w:rsidRPr="00B02A5F">
        <w:rPr>
          <w:b/>
        </w:rPr>
        <w:t>[DATE]</w:t>
      </w:r>
    </w:p>
    <w:p w14:paraId="442B37D6" w14:textId="77777777" w:rsidR="00C836E1" w:rsidRPr="00B02A5F" w:rsidRDefault="00C836E1" w:rsidP="00C836E1">
      <w:pPr>
        <w:rPr>
          <w:b/>
        </w:rPr>
      </w:pPr>
    </w:p>
    <w:p w14:paraId="4909EFDF" w14:textId="77777777" w:rsidR="00C836E1" w:rsidRPr="00B02A5F" w:rsidRDefault="00C836E1" w:rsidP="00C836E1">
      <w:pPr>
        <w:rPr>
          <w:b/>
        </w:rPr>
      </w:pPr>
      <w:r w:rsidRPr="00B02A5F">
        <w:rPr>
          <w:b/>
        </w:rPr>
        <w:t>[INSURANCE COMPANY NAME]</w:t>
      </w:r>
    </w:p>
    <w:p w14:paraId="1D4423C4" w14:textId="77777777" w:rsidR="00C836E1" w:rsidRPr="00B02A5F" w:rsidRDefault="00C836E1" w:rsidP="00C836E1">
      <w:pPr>
        <w:rPr>
          <w:b/>
        </w:rPr>
      </w:pPr>
      <w:r w:rsidRPr="00B02A5F">
        <w:rPr>
          <w:b/>
        </w:rPr>
        <w:t>[INSURANCE COMPANY ADDRESS]</w:t>
      </w:r>
    </w:p>
    <w:p w14:paraId="5A1CE34E" w14:textId="77777777" w:rsidR="00C836E1" w:rsidRPr="00B02A5F" w:rsidRDefault="00C836E1" w:rsidP="00C836E1"/>
    <w:p w14:paraId="2148FDA8" w14:textId="77777777" w:rsidR="00C836E1" w:rsidRPr="00B02A5F" w:rsidRDefault="00C836E1" w:rsidP="00C836E1">
      <w:pPr>
        <w:rPr>
          <w:b/>
        </w:rPr>
      </w:pPr>
      <w:r w:rsidRPr="00B02A5F">
        <w:t xml:space="preserve">RE: Request for preauthorization for </w:t>
      </w:r>
      <w:r w:rsidRPr="00B02A5F">
        <w:rPr>
          <w:b/>
        </w:rPr>
        <w:t>[</w:t>
      </w:r>
      <w:r>
        <w:rPr>
          <w:b/>
        </w:rPr>
        <w:t>NAME OF TREATMENT/PROCEDURE</w:t>
      </w:r>
      <w:r w:rsidRPr="00B02A5F">
        <w:rPr>
          <w:b/>
        </w:rPr>
        <w:t>]</w:t>
      </w:r>
    </w:p>
    <w:p w14:paraId="0837D31A" w14:textId="77777777" w:rsidR="00C836E1" w:rsidRPr="00B02A5F" w:rsidRDefault="00C836E1" w:rsidP="00C836E1">
      <w:pPr>
        <w:rPr>
          <w:b/>
        </w:rPr>
      </w:pPr>
    </w:p>
    <w:p w14:paraId="60AA4158" w14:textId="77777777" w:rsidR="00C836E1" w:rsidRPr="00B02A5F" w:rsidRDefault="00C836E1" w:rsidP="00C836E1">
      <w:r w:rsidRPr="00B02A5F">
        <w:t>To Whom It May Concern:</w:t>
      </w:r>
    </w:p>
    <w:p w14:paraId="7E99AFF2" w14:textId="77777777" w:rsidR="00C836E1" w:rsidRPr="00B02A5F" w:rsidRDefault="00C836E1" w:rsidP="00C836E1"/>
    <w:p w14:paraId="68FFD517" w14:textId="6BCAC98A" w:rsidR="00C836E1" w:rsidRPr="00B02A5F" w:rsidRDefault="00C836E1" w:rsidP="00C836E1">
      <w:r w:rsidRPr="00B02A5F">
        <w:t xml:space="preserve">I am enrolled in </w:t>
      </w:r>
      <w:r w:rsidRPr="00B02A5F">
        <w:rPr>
          <w:b/>
        </w:rPr>
        <w:t>[INSURANCE COMPANY NAME</w:t>
      </w:r>
      <w:r>
        <w:rPr>
          <w:b/>
        </w:rPr>
        <w:t>, PLAN NAME]</w:t>
      </w:r>
      <w:r w:rsidRPr="00B02A5F">
        <w:t xml:space="preserve">, policy number </w:t>
      </w:r>
      <w:r w:rsidRPr="00B02A5F">
        <w:rPr>
          <w:b/>
        </w:rPr>
        <w:t>[POLICY NUMBER</w:t>
      </w:r>
      <w:r w:rsidR="006C2B01">
        <w:rPr>
          <w:b/>
        </w:rPr>
        <w:t xml:space="preserve"> (IF APPLICABLE)</w:t>
      </w:r>
      <w:r w:rsidRPr="00B02A5F">
        <w:rPr>
          <w:b/>
        </w:rPr>
        <w:t>]</w:t>
      </w:r>
      <w:r w:rsidRPr="00B02A5F">
        <w:t xml:space="preserve">. I am requesting prior authorization for </w:t>
      </w:r>
      <w:r w:rsidRPr="00B02A5F">
        <w:rPr>
          <w:b/>
        </w:rPr>
        <w:t xml:space="preserve">[PROCEDURE NAME] </w:t>
      </w:r>
      <w:r w:rsidRPr="00B02A5F">
        <w:t xml:space="preserve">to treat gender </w:t>
      </w:r>
      <w:proofErr w:type="spellStart"/>
      <w:r w:rsidRPr="00B02A5F">
        <w:t>dysphoria</w:t>
      </w:r>
      <w:proofErr w:type="spellEnd"/>
      <w:r w:rsidRPr="00B02A5F">
        <w:t>.</w:t>
      </w:r>
    </w:p>
    <w:p w14:paraId="399ECF10" w14:textId="77777777" w:rsidR="00C836E1" w:rsidRPr="00B02A5F" w:rsidRDefault="00C836E1" w:rsidP="00C836E1"/>
    <w:p w14:paraId="313F2D65" w14:textId="5DA744CF" w:rsidR="006A4476" w:rsidRDefault="00C836E1" w:rsidP="00C836E1">
      <w:r w:rsidRPr="00B02A5F">
        <w:t>It is the overwhelming consensus among major medical organizations—including the American Medical Association, the American College of Physicians, the American Psychological Association, the American Psychiatric Association, the American Academy of Family Physicians, the Endocrine Society, the American College of Obstetricians and Gynecologists, and the World Professional Association for Transgender Health—that transition-related treatments are safe</w:t>
      </w:r>
      <w:r>
        <w:t>, effective, and medically necessary</w:t>
      </w:r>
      <w:r w:rsidRPr="00B02A5F">
        <w:t xml:space="preserve"> when clinically indicated to treat gender </w:t>
      </w:r>
      <w:proofErr w:type="spellStart"/>
      <w:r w:rsidRPr="00B02A5F">
        <w:t>dysphoria</w:t>
      </w:r>
      <w:proofErr w:type="spellEnd"/>
      <w:r w:rsidRPr="00B02A5F">
        <w:t>.</w:t>
      </w:r>
      <w:r>
        <w:rPr>
          <w:rStyle w:val="FootnoteReference"/>
        </w:rPr>
        <w:footnoteReference w:id="1"/>
      </w:r>
      <w:r w:rsidRPr="00B02A5F">
        <w:t xml:space="preserve"> Numerous studies have demonstrated the significant benefits of </w:t>
      </w:r>
      <w:r>
        <w:t>medical</w:t>
      </w:r>
      <w:r w:rsidRPr="00B02A5F">
        <w:t xml:space="preserve"> treatment</w:t>
      </w:r>
      <w:r>
        <w:t>s</w:t>
      </w:r>
      <w:r w:rsidRPr="00B02A5F">
        <w:t xml:space="preserve"> </w:t>
      </w:r>
      <w:r>
        <w:t>for</w:t>
      </w:r>
      <w:r w:rsidRPr="00B02A5F">
        <w:t xml:space="preserve"> gender </w:t>
      </w:r>
      <w:proofErr w:type="spellStart"/>
      <w:r w:rsidRPr="00B02A5F">
        <w:t>dysphoria</w:t>
      </w:r>
      <w:proofErr w:type="spellEnd"/>
      <w:r w:rsidRPr="00B02A5F">
        <w:t xml:space="preserve">. Major medical organizations such as </w:t>
      </w:r>
      <w:r>
        <w:t>those named above</w:t>
      </w:r>
      <w:r w:rsidRPr="00B02A5F">
        <w:t xml:space="preserve"> therefore support coverage of medically necessary transition-related care in accordance with the World Professional Association for Transgender Health’s most recent </w:t>
      </w:r>
      <w:r w:rsidRPr="002A0FA3">
        <w:rPr>
          <w:i/>
        </w:rPr>
        <w:t>Standards of Care</w:t>
      </w:r>
      <w:r w:rsidRPr="00B02A5F">
        <w:t xml:space="preserve"> (available at </w:t>
      </w:r>
      <w:hyperlink r:id="rId11" w:history="1">
        <w:r w:rsidRPr="00B02A5F">
          <w:rPr>
            <w:rStyle w:val="Hyperlink"/>
          </w:rPr>
          <w:t>https://www.wpath.org/publications/soc</w:t>
        </w:r>
      </w:hyperlink>
      <w:r w:rsidR="006A4476">
        <w:t xml:space="preserve">). In particular, WPATH specifically </w:t>
      </w:r>
      <w:r w:rsidR="005D1289">
        <w:t>issued guidance on the</w:t>
      </w:r>
      <w:r w:rsidR="006A4476">
        <w:t xml:space="preserve"> medical necessity of </w:t>
      </w:r>
      <w:r w:rsidR="005D1289">
        <w:t xml:space="preserve">treatment for gender </w:t>
      </w:r>
      <w:proofErr w:type="spellStart"/>
      <w:r w:rsidR="005D1289">
        <w:t>dysphoria</w:t>
      </w:r>
      <w:proofErr w:type="spellEnd"/>
      <w:r w:rsidR="00602984">
        <w:t xml:space="preserve"> (</w:t>
      </w:r>
      <w:hyperlink r:id="rId12" w:history="1">
        <w:r w:rsidR="00602984" w:rsidRPr="0084026F">
          <w:rPr>
            <w:rStyle w:val="Hyperlink"/>
          </w:rPr>
          <w:t>https://www.wpath.org/media/cms/Documents/Web%20Transfer/Policies/WPATH-Position-on-Medical-Necessity-12-21-2016.pdf</w:t>
        </w:r>
      </w:hyperlink>
      <w:r w:rsidR="00602984">
        <w:t>)</w:t>
      </w:r>
      <w:r w:rsidR="006A4476">
        <w:t>.</w:t>
      </w:r>
    </w:p>
    <w:p w14:paraId="439A2C5B" w14:textId="363035DB" w:rsidR="006A4476" w:rsidRPr="00B02A5F" w:rsidRDefault="006A4476" w:rsidP="00C836E1"/>
    <w:p w14:paraId="5889493A" w14:textId="69B05CD9" w:rsidR="00C836E1" w:rsidRPr="00B02A5F" w:rsidRDefault="00C836E1" w:rsidP="00C836E1">
      <w:pPr>
        <w:rPr>
          <w:b/>
        </w:rPr>
      </w:pPr>
      <w:r w:rsidRPr="00B02A5F">
        <w:rPr>
          <w:b/>
        </w:rPr>
        <w:t>[WHY YOU NEED THE PROCEDURE</w:t>
      </w:r>
      <w:r w:rsidR="006C2B01">
        <w:rPr>
          <w:b/>
        </w:rPr>
        <w:t>: Explain in your own words here</w:t>
      </w:r>
      <w:r w:rsidRPr="00B02A5F">
        <w:rPr>
          <w:b/>
        </w:rPr>
        <w:t>]</w:t>
      </w:r>
    </w:p>
    <w:p w14:paraId="25CB154E" w14:textId="77777777" w:rsidR="00C836E1" w:rsidRPr="00B02A5F" w:rsidRDefault="00C836E1" w:rsidP="00C836E1">
      <w:pPr>
        <w:tabs>
          <w:tab w:val="left" w:pos="2433"/>
        </w:tabs>
        <w:rPr>
          <w:b/>
        </w:rPr>
      </w:pPr>
      <w:r w:rsidRPr="00B02A5F">
        <w:rPr>
          <w:b/>
        </w:rPr>
        <w:tab/>
      </w:r>
    </w:p>
    <w:p w14:paraId="7607BC00" w14:textId="2ECF8C25" w:rsidR="006C2B01" w:rsidRDefault="0003548F" w:rsidP="006C2B01">
      <w:r w:rsidRPr="00657E78">
        <w:rPr>
          <w:rFonts w:cs="Times New Roman"/>
        </w:rPr>
        <w:t xml:space="preserve">In order to comply with </w:t>
      </w:r>
      <w:r>
        <w:rPr>
          <w:rFonts w:cs="Times New Roman"/>
        </w:rPr>
        <w:t>federal law</w:t>
      </w:r>
      <w:r w:rsidRPr="00657E78">
        <w:rPr>
          <w:rFonts w:cs="Times New Roman"/>
        </w:rPr>
        <w:t xml:space="preserve">, </w:t>
      </w:r>
      <w:r>
        <w:rPr>
          <w:rFonts w:cs="Times New Roman"/>
        </w:rPr>
        <w:t xml:space="preserve">self-funded employer health plans </w:t>
      </w:r>
      <w:r w:rsidRPr="00657E78">
        <w:rPr>
          <w:rFonts w:cs="Times New Roman"/>
        </w:rPr>
        <w:t xml:space="preserve">must cover medically necessary treatments for gender </w:t>
      </w:r>
      <w:proofErr w:type="spellStart"/>
      <w:r w:rsidRPr="00657E78">
        <w:rPr>
          <w:rFonts w:cs="Times New Roman"/>
        </w:rPr>
        <w:t>dysphoria</w:t>
      </w:r>
      <w:proofErr w:type="spellEnd"/>
      <w:r w:rsidRPr="00657E78">
        <w:rPr>
          <w:rFonts w:cs="Times New Roman"/>
        </w:rPr>
        <w:t xml:space="preserve">. </w:t>
      </w:r>
      <w:r w:rsidR="006C2B01">
        <w:t>Federal courts have determined that</w:t>
      </w:r>
      <w:r w:rsidR="006C2B01" w:rsidRPr="001E19F0">
        <w:t xml:space="preserve"> Title VII</w:t>
      </w:r>
      <w:r w:rsidR="006C2B01">
        <w:t xml:space="preserve"> and Title IX</w:t>
      </w:r>
      <w:r w:rsidR="006C2B01" w:rsidRPr="001E19F0">
        <w:t>’s sex discrimination provisions protect transgender people from discrimination in employment</w:t>
      </w:r>
      <w:r w:rsidR="006C2B01">
        <w:t xml:space="preserve"> and schools</w:t>
      </w:r>
      <w:r w:rsidR="006C2B01" w:rsidRPr="001E19F0">
        <w:t>, including in receiving</w:t>
      </w:r>
      <w:r w:rsidR="006C2B01">
        <w:t xml:space="preserve"> and accessing health care</w:t>
      </w:r>
      <w:r w:rsidR="006C2B01" w:rsidRPr="001E19F0">
        <w:t xml:space="preserve"> benefits (</w:t>
      </w:r>
      <w:r w:rsidR="006C2B01">
        <w:t>s</w:t>
      </w:r>
      <w:r w:rsidR="006C2B01" w:rsidRPr="001E19F0">
        <w:t>ee, e.g.</w:t>
      </w:r>
      <w:r w:rsidR="006C2B01">
        <w:t>,</w:t>
      </w:r>
      <w:r w:rsidR="006C2B01" w:rsidRPr="001E19F0">
        <w:t xml:space="preserve"> </w:t>
      </w:r>
      <w:hyperlink r:id="rId13" w:history="1">
        <w:r w:rsidR="006C2B01" w:rsidRPr="001E19F0">
          <w:rPr>
            <w:i/>
          </w:rPr>
          <w:t>EEOC v. R.G. &amp;. G.R. Harris Funeral Homes, Inc.</w:t>
        </w:r>
      </w:hyperlink>
      <w:r w:rsidR="006C2B01" w:rsidRPr="001E19F0">
        <w:t xml:space="preserve">, 884 F.3d 560 (6th Cir. 2018); </w:t>
      </w:r>
      <w:r w:rsidR="004A0B78">
        <w:fldChar w:fldCharType="begin"/>
      </w:r>
      <w:r w:rsidR="004A0B78">
        <w:instrText xml:space="preserve"> HYPERLINK "http://law.justia.com/cases/federal/appellate-courts/F3/401/729/551549/</w:instrText>
      </w:r>
      <w:r w:rsidR="004A0B78">
        <w:instrText xml:space="preserve">" \t "_blank" </w:instrText>
      </w:r>
      <w:r w:rsidR="004A0B78">
        <w:fldChar w:fldCharType="separate"/>
      </w:r>
      <w:r w:rsidR="006C2B01" w:rsidRPr="001E19F0">
        <w:rPr>
          <w:i/>
        </w:rPr>
        <w:t>Barnes v. City of Cincinnati</w:t>
      </w:r>
      <w:r w:rsidR="004A0B78">
        <w:rPr>
          <w:i/>
        </w:rPr>
        <w:fldChar w:fldCharType="end"/>
      </w:r>
      <w:r w:rsidR="006C2B01" w:rsidRPr="001E19F0">
        <w:t xml:space="preserve">, 401 F.3d 729 (6th Cir. 2005); </w:t>
      </w:r>
      <w:r w:rsidR="004A0B78">
        <w:fldChar w:fldCharType="begin"/>
      </w:r>
      <w:r w:rsidR="004A0B78">
        <w:instrText xml:space="preserve"> HYPERLINK "http://caselaw.findlaw.com/us-6th-circuit/1380020.html" \t "_blank" </w:instrText>
      </w:r>
      <w:r w:rsidR="004A0B78">
        <w:fldChar w:fldCharType="separate"/>
      </w:r>
      <w:r w:rsidR="006C2B01" w:rsidRPr="001E19F0">
        <w:rPr>
          <w:i/>
        </w:rPr>
        <w:t>Smith v. City of Salem</w:t>
      </w:r>
      <w:r w:rsidR="004A0B78">
        <w:rPr>
          <w:i/>
        </w:rPr>
        <w:fldChar w:fldCharType="end"/>
      </w:r>
      <w:r w:rsidR="006C2B01" w:rsidRPr="001E19F0">
        <w:t>, 378 F.3d 566 (6th Cir. 2004</w:t>
      </w:r>
      <w:r w:rsidR="006C2B01">
        <w:t xml:space="preserve">); </w:t>
      </w:r>
      <w:proofErr w:type="spellStart"/>
      <w:r w:rsidR="006C2B01" w:rsidRPr="00805FEB">
        <w:rPr>
          <w:i/>
        </w:rPr>
        <w:t>Dodds</w:t>
      </w:r>
      <w:proofErr w:type="spellEnd"/>
      <w:r w:rsidR="006C2B01" w:rsidRPr="00805FEB">
        <w:rPr>
          <w:i/>
        </w:rPr>
        <w:t xml:space="preserve"> v. U.S. Dep</w:t>
      </w:r>
      <w:r w:rsidR="006C2B01">
        <w:rPr>
          <w:i/>
        </w:rPr>
        <w:t>’</w:t>
      </w:r>
      <w:r w:rsidR="006C2B01" w:rsidRPr="00805FEB">
        <w:rPr>
          <w:i/>
        </w:rPr>
        <w:t>t of Educ</w:t>
      </w:r>
      <w:r w:rsidR="006C2B01">
        <w:rPr>
          <w:i/>
        </w:rPr>
        <w:t>.</w:t>
      </w:r>
      <w:r w:rsidR="006C2B01" w:rsidRPr="00385DD7">
        <w:t>, 845 F.3d 217 (6th Cir. 2016)</w:t>
      </w:r>
      <w:r w:rsidR="006C2B01">
        <w:t xml:space="preserve">; </w:t>
      </w:r>
      <w:r w:rsidR="006C2B01" w:rsidRPr="00805FEB">
        <w:rPr>
          <w:i/>
        </w:rPr>
        <w:t>Whitaker v. Kenosha Unified Sch</w:t>
      </w:r>
      <w:r w:rsidR="006C2B01">
        <w:rPr>
          <w:i/>
        </w:rPr>
        <w:t>.</w:t>
      </w:r>
      <w:r w:rsidR="006C2B01" w:rsidRPr="00805FEB">
        <w:rPr>
          <w:i/>
        </w:rPr>
        <w:t xml:space="preserve"> Dist</w:t>
      </w:r>
      <w:r w:rsidR="006C2B01">
        <w:rPr>
          <w:i/>
        </w:rPr>
        <w:t>.</w:t>
      </w:r>
      <w:r w:rsidR="006C2B01" w:rsidRPr="00385DD7">
        <w:t>, 858 F.3d 1034 (7th Cir. 2017)</w:t>
      </w:r>
      <w:r w:rsidR="006C2B01">
        <w:t xml:space="preserve">). </w:t>
      </w:r>
      <w:r w:rsidR="006C2B01" w:rsidRPr="001E19F0">
        <w:t>Federal</w:t>
      </w:r>
      <w:r w:rsidR="006C2B01">
        <w:t xml:space="preserve"> courts and the Equal Employment Opportunity </w:t>
      </w:r>
      <w:r w:rsidR="006C2B01">
        <w:lastRenderedPageBreak/>
        <w:t xml:space="preserve">Commission have specifically found that exclusions for medically necessary treatment for gender </w:t>
      </w:r>
      <w:proofErr w:type="spellStart"/>
      <w:r w:rsidR="006C2B01">
        <w:t>dysphoria</w:t>
      </w:r>
      <w:proofErr w:type="spellEnd"/>
      <w:r w:rsidR="006C2B01">
        <w:t xml:space="preserve"> in self-funded health plans are discriminatory, in violation of federal </w:t>
      </w:r>
      <w:r w:rsidR="006C2B01" w:rsidRPr="00D7083D">
        <w:t>protections (</w:t>
      </w:r>
      <w:r w:rsidR="006C2B01" w:rsidRPr="00E90B9C">
        <w:rPr>
          <w:iCs/>
        </w:rPr>
        <w:t>see, e.g.</w:t>
      </w:r>
      <w:r w:rsidR="006C2B01">
        <w:rPr>
          <w:iCs/>
        </w:rPr>
        <w:t>,</w:t>
      </w:r>
      <w:r w:rsidR="006C2B01" w:rsidRPr="00E90B9C">
        <w:rPr>
          <w:iCs/>
        </w:rPr>
        <w:t xml:space="preserve"> </w:t>
      </w:r>
      <w:r w:rsidR="006C2B01" w:rsidRPr="00D7083D">
        <w:rPr>
          <w:i/>
        </w:rPr>
        <w:t xml:space="preserve">Boyden v. </w:t>
      </w:r>
      <w:proofErr w:type="spellStart"/>
      <w:r w:rsidR="006C2B01" w:rsidRPr="00D7083D">
        <w:rPr>
          <w:i/>
        </w:rPr>
        <w:t>Conlin</w:t>
      </w:r>
      <w:proofErr w:type="spellEnd"/>
      <w:r w:rsidR="006C2B01" w:rsidRPr="00D7083D">
        <w:t>, No. 17-cv-264-WMC, 2018</w:t>
      </w:r>
      <w:r w:rsidR="006C2B01">
        <w:t xml:space="preserve"> (W.D. Wis. September 18, 2018); Amicus Brief of the Equal Employment Opportunity Commission in Support of Plaintiff and in Opposition to Defendant’s Motion to Dismiss, </w:t>
      </w:r>
      <w:r w:rsidR="006C2B01">
        <w:rPr>
          <w:i/>
        </w:rPr>
        <w:t>Robinson</w:t>
      </w:r>
      <w:r w:rsidR="006C2B01" w:rsidRPr="00D7083D">
        <w:rPr>
          <w:i/>
        </w:rPr>
        <w:t xml:space="preserve"> v. </w:t>
      </w:r>
      <w:r w:rsidR="006C2B01">
        <w:rPr>
          <w:i/>
        </w:rPr>
        <w:t>Dignity Health</w:t>
      </w:r>
      <w:r w:rsidR="006C2B01" w:rsidRPr="00D7083D">
        <w:t xml:space="preserve">, No. </w:t>
      </w:r>
      <w:r w:rsidR="006C2B01">
        <w:t>4:16-cv-03035-YGR (</w:t>
      </w:r>
      <w:r w:rsidR="006C2B01" w:rsidRPr="00083A99">
        <w:t>N.D. Cal.</w:t>
      </w:r>
      <w:r w:rsidR="006C2B01">
        <w:t xml:space="preserve">, </w:t>
      </w:r>
      <w:r w:rsidR="006C2B01">
        <w:rPr>
          <w:i/>
        </w:rPr>
        <w:t xml:space="preserve">filed </w:t>
      </w:r>
      <w:r w:rsidR="006C2B01">
        <w:rPr>
          <w:rFonts w:cs="Times New Roman"/>
        </w:rPr>
        <w:t>August 22, 2018</w:t>
      </w:r>
      <w:r w:rsidR="006C2B01">
        <w:t>)).</w:t>
      </w:r>
    </w:p>
    <w:p w14:paraId="220A17FD" w14:textId="77777777" w:rsidR="00401291" w:rsidRDefault="00401291" w:rsidP="006C2B01">
      <w:pPr>
        <w:rPr>
          <w:rFonts w:cs="Times New Roman"/>
        </w:rPr>
      </w:pPr>
    </w:p>
    <w:p w14:paraId="5CA7D7F1" w14:textId="1B4EE71D" w:rsidR="00C836E1" w:rsidRPr="00401291" w:rsidRDefault="006C2B01" w:rsidP="0003548F">
      <w:pPr>
        <w:rPr>
          <w:rFonts w:cs="Times New Roman"/>
        </w:rPr>
      </w:pPr>
      <w:r>
        <w:t>Courts have similarly found that exclusions of transition-related care can violate Section 1557 of the Affordable Care Act</w:t>
      </w:r>
      <w:r w:rsidRPr="00E67CA6">
        <w:t xml:space="preserve"> </w:t>
      </w:r>
      <w:r>
        <w:t xml:space="preserve">and the Equal Protection Clause of the U.S. Constitution, and that insurers acting as third party administrators can be held liable for enforcing discriminatory exclusions in self-funded plans </w:t>
      </w:r>
      <w:r w:rsidRPr="00C353A3">
        <w:t>(</w:t>
      </w:r>
      <w:r w:rsidRPr="00E90B9C">
        <w:rPr>
          <w:iCs/>
        </w:rPr>
        <w:t xml:space="preserve">see, e.g., </w:t>
      </w:r>
      <w:r w:rsidRPr="00C353A3">
        <w:rPr>
          <w:i/>
        </w:rPr>
        <w:t xml:space="preserve">Tovar v. </w:t>
      </w:r>
      <w:proofErr w:type="spellStart"/>
      <w:r w:rsidRPr="00C353A3">
        <w:rPr>
          <w:i/>
        </w:rPr>
        <w:t>Essentia</w:t>
      </w:r>
      <w:proofErr w:type="spellEnd"/>
      <w:r w:rsidRPr="00C353A3">
        <w:rPr>
          <w:i/>
        </w:rPr>
        <w:t xml:space="preserve"> Health</w:t>
      </w:r>
      <w:r w:rsidRPr="00C353A3">
        <w:t>, No. 16-cv-00100-DWF-LIB (D. Minn. September 20, 2018</w:t>
      </w:r>
      <w:r>
        <w:t>)</w:t>
      </w:r>
      <w:r w:rsidRPr="00C353A3">
        <w:t xml:space="preserve">; </w:t>
      </w:r>
      <w:r w:rsidRPr="00C353A3">
        <w:rPr>
          <w:i/>
        </w:rPr>
        <w:t>Flack v. Wi</w:t>
      </w:r>
      <w:r>
        <w:rPr>
          <w:i/>
        </w:rPr>
        <w:t>s.</w:t>
      </w:r>
      <w:r w:rsidRPr="00C353A3">
        <w:rPr>
          <w:i/>
        </w:rPr>
        <w:t xml:space="preserve"> Dep</w:t>
      </w:r>
      <w:r>
        <w:rPr>
          <w:i/>
        </w:rPr>
        <w:t>’</w:t>
      </w:r>
      <w:r w:rsidRPr="00C353A3">
        <w:rPr>
          <w:i/>
        </w:rPr>
        <w:t xml:space="preserve">t of Health </w:t>
      </w:r>
      <w:proofErr w:type="spellStart"/>
      <w:r w:rsidRPr="00C353A3">
        <w:rPr>
          <w:i/>
        </w:rPr>
        <w:t>Servs</w:t>
      </w:r>
      <w:proofErr w:type="spellEnd"/>
      <w:r>
        <w:rPr>
          <w:i/>
        </w:rPr>
        <w:t>.</w:t>
      </w:r>
      <w:r w:rsidRPr="00C353A3">
        <w:t xml:space="preserve">, No. 3:18-cv-00309-wmc (W.D. Wis. July 25, 2018); </w:t>
      </w:r>
      <w:r w:rsidRPr="00E90B9C">
        <w:rPr>
          <w:i/>
          <w:iCs/>
        </w:rPr>
        <w:t xml:space="preserve">Cruz v. </w:t>
      </w:r>
      <w:proofErr w:type="spellStart"/>
      <w:r w:rsidRPr="00E90B9C">
        <w:rPr>
          <w:i/>
          <w:iCs/>
        </w:rPr>
        <w:t>Zucker</w:t>
      </w:r>
      <w:proofErr w:type="spellEnd"/>
      <w:r w:rsidRPr="00C353A3">
        <w:t xml:space="preserve">, 195 F.Supp.3d 554 (S.D.N.Y. 2016); </w:t>
      </w:r>
      <w:r w:rsidRPr="00C353A3">
        <w:rPr>
          <w:rFonts w:cs="Times New Roman"/>
          <w:i/>
        </w:rPr>
        <w:t xml:space="preserve">Prescott v. </w:t>
      </w:r>
      <w:proofErr w:type="spellStart"/>
      <w:r w:rsidRPr="00C353A3">
        <w:rPr>
          <w:rFonts w:cs="Times New Roman"/>
          <w:i/>
        </w:rPr>
        <w:t>Rady</w:t>
      </w:r>
      <w:proofErr w:type="spellEnd"/>
      <w:r w:rsidRPr="00C353A3">
        <w:rPr>
          <w:rFonts w:cs="Times New Roman"/>
          <w:i/>
        </w:rPr>
        <w:t xml:space="preserve"> Children’s Hosp</w:t>
      </w:r>
      <w:r>
        <w:rPr>
          <w:rFonts w:cs="Times New Roman"/>
          <w:i/>
        </w:rPr>
        <w:t>.</w:t>
      </w:r>
      <w:r w:rsidRPr="00C353A3">
        <w:rPr>
          <w:rFonts w:cs="Times New Roman"/>
          <w:i/>
        </w:rPr>
        <w:t>-San Diego</w:t>
      </w:r>
      <w:r w:rsidRPr="00C353A3">
        <w:rPr>
          <w:rFonts w:cs="Times New Roman"/>
        </w:rPr>
        <w:t>, 265 F.Supp.3d 1090 (S.D. Cal. 2017</w:t>
      </w:r>
      <w:r w:rsidRPr="00C353A3">
        <w:t>).</w:t>
      </w:r>
      <w:r w:rsidR="00896945" w:rsidRPr="00C353A3">
        <w:t xml:space="preserve"> </w:t>
      </w:r>
      <w:r w:rsidR="00401291">
        <w:rPr>
          <w:rFonts w:cs="Times New Roman"/>
        </w:rPr>
        <w:t xml:space="preserve">(See </w:t>
      </w:r>
      <w:hyperlink r:id="rId14" w:history="1">
        <w:r w:rsidR="00401291" w:rsidRPr="00880D93">
          <w:rPr>
            <w:rStyle w:val="Hyperlink"/>
            <w:rFonts w:cs="Times New Roman"/>
          </w:rPr>
          <w:t>https://transequality.org/federal-case-law-on-transgender-people-and-discrimination</w:t>
        </w:r>
      </w:hyperlink>
      <w:r w:rsidR="00401291" w:rsidRPr="00AE2889">
        <w:rPr>
          <w:rFonts w:cs="Times New Roman"/>
        </w:rPr>
        <w:t xml:space="preserve"> for a </w:t>
      </w:r>
      <w:r w:rsidR="00401291">
        <w:rPr>
          <w:rFonts w:cs="Times New Roman"/>
        </w:rPr>
        <w:t xml:space="preserve">full </w:t>
      </w:r>
      <w:r w:rsidR="00401291" w:rsidRPr="00AE2889">
        <w:rPr>
          <w:rFonts w:cs="Times New Roman"/>
        </w:rPr>
        <w:t>summary of cases holding that s</w:t>
      </w:r>
      <w:r w:rsidR="00401291">
        <w:rPr>
          <w:rFonts w:cs="Times New Roman"/>
        </w:rPr>
        <w:t>ex discrimination bans under Title VII,</w:t>
      </w:r>
      <w:r w:rsidR="00385DD7">
        <w:rPr>
          <w:rFonts w:cs="Times New Roman"/>
        </w:rPr>
        <w:t xml:space="preserve"> Title IX</w:t>
      </w:r>
      <w:r>
        <w:rPr>
          <w:rFonts w:cs="Times New Roman"/>
        </w:rPr>
        <w:t>,</w:t>
      </w:r>
      <w:r w:rsidR="00401291">
        <w:rPr>
          <w:rFonts w:cs="Times New Roman"/>
        </w:rPr>
        <w:t xml:space="preserve"> the</w:t>
      </w:r>
      <w:r w:rsidR="00401291" w:rsidRPr="00AE2889">
        <w:rPr>
          <w:rFonts w:cs="Times New Roman"/>
        </w:rPr>
        <w:t xml:space="preserve"> Affordable Care Act and other federal laws prohibit anti-transgender discrimination, including in insuran</w:t>
      </w:r>
      <w:r w:rsidR="00401291">
        <w:rPr>
          <w:rFonts w:cs="Times New Roman"/>
        </w:rPr>
        <w:t xml:space="preserve">ce coverage.) </w:t>
      </w:r>
      <w:r w:rsidR="0003548F" w:rsidRPr="00657E78">
        <w:rPr>
          <w:rFonts w:cs="Times New Roman"/>
        </w:rPr>
        <w:t xml:space="preserve">Illegal practices under </w:t>
      </w:r>
      <w:r w:rsidR="00B01986">
        <w:rPr>
          <w:rFonts w:cs="Times New Roman"/>
        </w:rPr>
        <w:t>federal law</w:t>
      </w:r>
      <w:r w:rsidR="0003548F" w:rsidRPr="00657E78">
        <w:rPr>
          <w:rFonts w:cs="Times New Roman"/>
        </w:rPr>
        <w:t xml:space="preserve"> include blanket exclusions of all care related to gender </w:t>
      </w:r>
      <w:proofErr w:type="spellStart"/>
      <w:r w:rsidR="0003548F" w:rsidRPr="00657E78">
        <w:rPr>
          <w:rFonts w:cs="Times New Roman"/>
        </w:rPr>
        <w:t>dysphoria</w:t>
      </w:r>
      <w:proofErr w:type="spellEnd"/>
      <w:r w:rsidR="0003548F" w:rsidRPr="00657E78">
        <w:rPr>
          <w:rFonts w:cs="Times New Roman"/>
        </w:rPr>
        <w:t xml:space="preserve">; automatic exclusions of specific treatments for gender </w:t>
      </w:r>
      <w:proofErr w:type="spellStart"/>
      <w:r w:rsidR="0003548F" w:rsidRPr="00657E78">
        <w:rPr>
          <w:rFonts w:cs="Times New Roman"/>
        </w:rPr>
        <w:t>dysphoria</w:t>
      </w:r>
      <w:proofErr w:type="spellEnd"/>
      <w:r w:rsidR="0003548F" w:rsidRPr="00657E78">
        <w:rPr>
          <w:rFonts w:cs="Times New Roman"/>
        </w:rPr>
        <w:t xml:space="preserve"> regardless of medical necessity (such as classifying certain treatments as always cosmetic or refusing to cover a treatment for gender </w:t>
      </w:r>
      <w:proofErr w:type="spellStart"/>
      <w:r w:rsidR="0003548F" w:rsidRPr="00657E78">
        <w:rPr>
          <w:rFonts w:cs="Times New Roman"/>
        </w:rPr>
        <w:t>dysphoria</w:t>
      </w:r>
      <w:proofErr w:type="spellEnd"/>
      <w:r w:rsidR="0003548F" w:rsidRPr="00657E78">
        <w:rPr>
          <w:rFonts w:cs="Times New Roman"/>
        </w:rPr>
        <w:t xml:space="preserve"> when a similar treatment is covered for other conditions); and the use of arbitrary and excessive standards for determining medical necessity or eligibility when those standards are not based on accepted medical guidelines.</w:t>
      </w:r>
    </w:p>
    <w:p w14:paraId="4354BE22" w14:textId="77777777" w:rsidR="0003548F" w:rsidRPr="00B02A5F" w:rsidRDefault="0003548F" w:rsidP="00C836E1">
      <w:pPr>
        <w:rPr>
          <w:b/>
        </w:rPr>
      </w:pPr>
    </w:p>
    <w:p w14:paraId="2E1421D4" w14:textId="6A6A3703" w:rsidR="00C836E1" w:rsidRDefault="00C836E1" w:rsidP="00C836E1">
      <w:r>
        <w:t>Please find enclosed a letter from my health care provider</w:t>
      </w:r>
      <w:r w:rsidR="006C2B01">
        <w:t>,</w:t>
      </w:r>
      <w:r>
        <w:t xml:space="preserve"> which provides further support and documentation of the medical necessity of this treatment.</w:t>
      </w:r>
    </w:p>
    <w:p w14:paraId="55627D5C" w14:textId="77777777" w:rsidR="00C836E1" w:rsidRDefault="00C836E1" w:rsidP="00C836E1"/>
    <w:p w14:paraId="3E7006DE" w14:textId="77777777" w:rsidR="00C836E1" w:rsidRDefault="00C836E1" w:rsidP="00C836E1">
      <w:pPr>
        <w:rPr>
          <w:b/>
        </w:rPr>
      </w:pPr>
      <w:r>
        <w:rPr>
          <w:b/>
        </w:rPr>
        <w:t>[If your procedure is already scheduled, include the date here, and provide a date by which you need to get a response.]</w:t>
      </w:r>
    </w:p>
    <w:p w14:paraId="6AC44152" w14:textId="77777777" w:rsidR="00C836E1" w:rsidRDefault="00C836E1" w:rsidP="00C836E1">
      <w:pPr>
        <w:rPr>
          <w:b/>
        </w:rPr>
      </w:pPr>
    </w:p>
    <w:p w14:paraId="060ADC5B" w14:textId="77777777" w:rsidR="00C836E1" w:rsidRDefault="00C836E1" w:rsidP="00C836E1">
      <w:r>
        <w:t>Sincerely,</w:t>
      </w:r>
    </w:p>
    <w:p w14:paraId="69B44262" w14:textId="77777777" w:rsidR="00C836E1" w:rsidRDefault="00C836E1" w:rsidP="00C836E1"/>
    <w:p w14:paraId="436393B3" w14:textId="77777777" w:rsidR="00C836E1" w:rsidRPr="003F7AA3" w:rsidRDefault="00C836E1" w:rsidP="00C836E1">
      <w:pPr>
        <w:rPr>
          <w:b/>
        </w:rPr>
      </w:pPr>
      <w:r>
        <w:rPr>
          <w:b/>
        </w:rPr>
        <w:t>[YOUR NAME]</w:t>
      </w:r>
    </w:p>
    <w:p w14:paraId="5900FE62" w14:textId="77777777" w:rsidR="00477ACA" w:rsidRDefault="00477ACA"/>
    <w:sectPr w:rsidR="00477ACA">
      <w:footnotePr>
        <w:numRestart w:val="eachSect"/>
      </w:foot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3736D5" w15:done="0"/>
  <w15:commentEx w15:paraId="0904230F" w15:done="0"/>
  <w15:commentEx w15:paraId="43527F6A" w15:done="0"/>
  <w15:commentEx w15:paraId="6293180E" w15:done="0"/>
  <w15:commentEx w15:paraId="6D1B6C04" w15:done="0"/>
  <w15:commentEx w15:paraId="0229F430" w15:done="0"/>
  <w15:commentEx w15:paraId="64E76056" w15:done="0"/>
  <w15:commentEx w15:paraId="5EB78929" w15:done="0"/>
  <w15:commentEx w15:paraId="43A1A212" w15:done="0"/>
  <w15:commentEx w15:paraId="376F7F4E" w15:done="0"/>
  <w15:commentEx w15:paraId="367604CE" w15:done="0"/>
  <w15:commentEx w15:paraId="707E810A" w15:done="0"/>
  <w15:commentEx w15:paraId="249C50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A88E3" w14:textId="77777777" w:rsidR="00826F8D" w:rsidRDefault="00826F8D" w:rsidP="00BE5B48">
      <w:r>
        <w:separator/>
      </w:r>
    </w:p>
  </w:endnote>
  <w:endnote w:type="continuationSeparator" w:id="0">
    <w:p w14:paraId="05E71456" w14:textId="77777777" w:rsidR="00826F8D" w:rsidRDefault="00826F8D" w:rsidP="00BE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Segoe UI">
    <w:altName w:val="Times New Roman Bold"/>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468F6" w14:textId="77777777" w:rsidR="00826F8D" w:rsidRDefault="00826F8D" w:rsidP="00BE5B48">
      <w:r>
        <w:separator/>
      </w:r>
    </w:p>
  </w:footnote>
  <w:footnote w:type="continuationSeparator" w:id="0">
    <w:p w14:paraId="3D63C8D8" w14:textId="77777777" w:rsidR="00826F8D" w:rsidRDefault="00826F8D" w:rsidP="00BE5B48">
      <w:r>
        <w:continuationSeparator/>
      </w:r>
    </w:p>
  </w:footnote>
  <w:footnote w:id="1">
    <w:p w14:paraId="5E261BA8" w14:textId="1E41B3F3" w:rsidR="00C836E1" w:rsidRPr="009716C5" w:rsidRDefault="00C836E1" w:rsidP="00C836E1">
      <w:pPr>
        <w:pStyle w:val="FootnoteText"/>
      </w:pPr>
      <w:r w:rsidRPr="009716C5">
        <w:rPr>
          <w:rStyle w:val="FootnoteReference"/>
        </w:rPr>
        <w:footnoteRef/>
      </w:r>
      <w:r w:rsidRPr="009716C5">
        <w:t xml:space="preserve"> For a compilation of statements from major medical associations on this issue, see </w:t>
      </w:r>
      <w:hyperlink r:id="rId1" w:history="1">
        <w:r w:rsidRPr="009716C5">
          <w:rPr>
            <w:rStyle w:val="Hyperlink"/>
          </w:rPr>
          <w:t>https://www.lambdalegal.org/sites/default/files/publications/downloads/ll_trans_professional_statements_17.pdf</w:t>
        </w:r>
      </w:hyperlink>
      <w:r w:rsidRPr="009716C5">
        <w:t xml:space="preserve"> and </w:t>
      </w:r>
      <w:hyperlink r:id="rId2" w:history="1">
        <w:r w:rsidRPr="009716C5">
          <w:rPr>
            <w:rStyle w:val="Hyperlink"/>
          </w:rPr>
          <w:t>https://transcendlegal.org/medical-organization-statements</w:t>
        </w:r>
      </w:hyperlink>
      <w:r w:rsidRPr="009716C5">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6E5"/>
    <w:multiLevelType w:val="multilevel"/>
    <w:tmpl w:val="5E36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610E6"/>
    <w:multiLevelType w:val="multilevel"/>
    <w:tmpl w:val="076A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8708A0"/>
    <w:multiLevelType w:val="hybridMultilevel"/>
    <w:tmpl w:val="CAB666F8"/>
    <w:lvl w:ilvl="0" w:tplc="EFA2E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12813"/>
    <w:multiLevelType w:val="hybridMultilevel"/>
    <w:tmpl w:val="CAB666F8"/>
    <w:lvl w:ilvl="0" w:tplc="EFA2E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5E5FBB"/>
    <w:multiLevelType w:val="multilevel"/>
    <w:tmpl w:val="854E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 Athayde-Rizzaro">
    <w15:presenceInfo w15:providerId="None" w15:userId="Luc Athayde-Rizzaro"/>
  </w15:person>
  <w15:person w15:author="Ma'ayan Anafi">
    <w15:presenceInfo w15:providerId="Windows Live" w15:userId="9d37a7caa0ea7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64" w:dllVersion="131078" w:nlCheck="1" w:checkStyle="0"/>
  <w:proofState w:spelling="clean"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48"/>
    <w:rsid w:val="0000394C"/>
    <w:rsid w:val="000044BA"/>
    <w:rsid w:val="00011001"/>
    <w:rsid w:val="00023D83"/>
    <w:rsid w:val="0003548F"/>
    <w:rsid w:val="000824B1"/>
    <w:rsid w:val="00083A99"/>
    <w:rsid w:val="00092C2C"/>
    <w:rsid w:val="000D1261"/>
    <w:rsid w:val="000F1ECD"/>
    <w:rsid w:val="00134871"/>
    <w:rsid w:val="00135AD8"/>
    <w:rsid w:val="0015304B"/>
    <w:rsid w:val="00164154"/>
    <w:rsid w:val="001D6914"/>
    <w:rsid w:val="001E19F0"/>
    <w:rsid w:val="002846D1"/>
    <w:rsid w:val="00294AC9"/>
    <w:rsid w:val="002B034D"/>
    <w:rsid w:val="002C0AB4"/>
    <w:rsid w:val="002F1CC2"/>
    <w:rsid w:val="00307C4B"/>
    <w:rsid w:val="00347498"/>
    <w:rsid w:val="0035625F"/>
    <w:rsid w:val="0036343D"/>
    <w:rsid w:val="00385DD7"/>
    <w:rsid w:val="003A0E36"/>
    <w:rsid w:val="003A746D"/>
    <w:rsid w:val="003F7160"/>
    <w:rsid w:val="00401291"/>
    <w:rsid w:val="00407971"/>
    <w:rsid w:val="00417DDD"/>
    <w:rsid w:val="00477ACA"/>
    <w:rsid w:val="004A0B78"/>
    <w:rsid w:val="004C67E5"/>
    <w:rsid w:val="005132E4"/>
    <w:rsid w:val="00513C78"/>
    <w:rsid w:val="005410A6"/>
    <w:rsid w:val="00543806"/>
    <w:rsid w:val="00546D29"/>
    <w:rsid w:val="00552AA5"/>
    <w:rsid w:val="005D1289"/>
    <w:rsid w:val="005F34E6"/>
    <w:rsid w:val="00602984"/>
    <w:rsid w:val="00692ABF"/>
    <w:rsid w:val="006A4476"/>
    <w:rsid w:val="006A6447"/>
    <w:rsid w:val="006B688D"/>
    <w:rsid w:val="006C2B01"/>
    <w:rsid w:val="00702CC1"/>
    <w:rsid w:val="007311DA"/>
    <w:rsid w:val="007730A8"/>
    <w:rsid w:val="007D24FC"/>
    <w:rsid w:val="007E2B8C"/>
    <w:rsid w:val="007E6F1B"/>
    <w:rsid w:val="00813BF2"/>
    <w:rsid w:val="00824065"/>
    <w:rsid w:val="00826F8D"/>
    <w:rsid w:val="008955A4"/>
    <w:rsid w:val="00896945"/>
    <w:rsid w:val="008B6C34"/>
    <w:rsid w:val="008C105B"/>
    <w:rsid w:val="009716C5"/>
    <w:rsid w:val="009B0E41"/>
    <w:rsid w:val="009E153A"/>
    <w:rsid w:val="00A05519"/>
    <w:rsid w:val="00A21D5A"/>
    <w:rsid w:val="00A54F4E"/>
    <w:rsid w:val="00AB7870"/>
    <w:rsid w:val="00AC5E93"/>
    <w:rsid w:val="00AF67E8"/>
    <w:rsid w:val="00B01986"/>
    <w:rsid w:val="00B15EAA"/>
    <w:rsid w:val="00BC452D"/>
    <w:rsid w:val="00BD35E6"/>
    <w:rsid w:val="00BE5B48"/>
    <w:rsid w:val="00BF4282"/>
    <w:rsid w:val="00C05AD4"/>
    <w:rsid w:val="00C16B21"/>
    <w:rsid w:val="00C3101F"/>
    <w:rsid w:val="00C353A3"/>
    <w:rsid w:val="00C4408B"/>
    <w:rsid w:val="00C836E1"/>
    <w:rsid w:val="00CD611A"/>
    <w:rsid w:val="00CE5F42"/>
    <w:rsid w:val="00CF0F30"/>
    <w:rsid w:val="00CF5D5B"/>
    <w:rsid w:val="00D7083D"/>
    <w:rsid w:val="00D74007"/>
    <w:rsid w:val="00D96E1E"/>
    <w:rsid w:val="00DB52BE"/>
    <w:rsid w:val="00DC3C3C"/>
    <w:rsid w:val="00E67CA6"/>
    <w:rsid w:val="00EE2266"/>
    <w:rsid w:val="00F05C6E"/>
    <w:rsid w:val="00F223FC"/>
    <w:rsid w:val="00F7557C"/>
    <w:rsid w:val="00FA0E7A"/>
    <w:rsid w:val="00FD6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C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8"/>
    <w:pPr>
      <w:spacing w:after="0" w:line="240" w:lineRule="auto"/>
    </w:pPr>
    <w:rPr>
      <w:rFonts w:ascii="Times New Roman" w:eastAsiaTheme="minorEastAsia"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B48"/>
    <w:rPr>
      <w:color w:val="0563C1" w:themeColor="hyperlink"/>
      <w:u w:val="single"/>
    </w:rPr>
  </w:style>
  <w:style w:type="paragraph" w:styleId="FootnoteText">
    <w:name w:val="footnote text"/>
    <w:aliases w:val="Tablenote Text"/>
    <w:basedOn w:val="Normal"/>
    <w:link w:val="FootnoteTextChar"/>
    <w:uiPriority w:val="99"/>
    <w:qFormat/>
    <w:rsid w:val="00BE5B48"/>
    <w:rPr>
      <w:rFonts w:eastAsia="Times New Roman" w:cs="Times New Roman"/>
      <w:sz w:val="20"/>
      <w:szCs w:val="20"/>
      <w:lang w:eastAsia="en-US"/>
    </w:rPr>
  </w:style>
  <w:style w:type="character" w:customStyle="1" w:styleId="FootnoteTextChar">
    <w:name w:val="Footnote Text Char"/>
    <w:aliases w:val="Tablenote Text Char"/>
    <w:basedOn w:val="DefaultParagraphFont"/>
    <w:link w:val="FootnoteText"/>
    <w:uiPriority w:val="99"/>
    <w:rsid w:val="00BE5B48"/>
    <w:rPr>
      <w:rFonts w:ascii="Times New Roman" w:eastAsia="Times New Roman" w:hAnsi="Times New Roman" w:cs="Times New Roman"/>
      <w:sz w:val="20"/>
      <w:szCs w:val="20"/>
    </w:rPr>
  </w:style>
  <w:style w:type="character" w:styleId="FootnoteReference">
    <w:name w:val="footnote reference"/>
    <w:aliases w:val="callout"/>
    <w:basedOn w:val="DefaultParagraphFont"/>
    <w:uiPriority w:val="99"/>
    <w:rsid w:val="00BE5B48"/>
    <w:rPr>
      <w:vertAlign w:val="superscript"/>
    </w:rPr>
  </w:style>
  <w:style w:type="paragraph" w:styleId="ListParagraph">
    <w:name w:val="List Paragraph"/>
    <w:basedOn w:val="Normal"/>
    <w:uiPriority w:val="34"/>
    <w:qFormat/>
    <w:rsid w:val="00BE5B48"/>
    <w:pPr>
      <w:ind w:left="720"/>
      <w:contextualSpacing/>
    </w:pPr>
  </w:style>
  <w:style w:type="character" w:styleId="FollowedHyperlink">
    <w:name w:val="FollowedHyperlink"/>
    <w:basedOn w:val="DefaultParagraphFont"/>
    <w:uiPriority w:val="99"/>
    <w:semiHidden/>
    <w:unhideWhenUsed/>
    <w:rsid w:val="00552AA5"/>
    <w:rPr>
      <w:color w:val="954F72" w:themeColor="followedHyperlink"/>
      <w:u w:val="single"/>
    </w:rPr>
  </w:style>
  <w:style w:type="character" w:styleId="CommentReference">
    <w:name w:val="annotation reference"/>
    <w:basedOn w:val="DefaultParagraphFont"/>
    <w:uiPriority w:val="99"/>
    <w:unhideWhenUsed/>
    <w:rsid w:val="000F1ECD"/>
    <w:rPr>
      <w:sz w:val="16"/>
      <w:szCs w:val="16"/>
    </w:rPr>
  </w:style>
  <w:style w:type="paragraph" w:styleId="CommentText">
    <w:name w:val="annotation text"/>
    <w:basedOn w:val="Normal"/>
    <w:link w:val="CommentTextChar"/>
    <w:uiPriority w:val="99"/>
    <w:semiHidden/>
    <w:unhideWhenUsed/>
    <w:rsid w:val="000F1ECD"/>
    <w:rPr>
      <w:sz w:val="20"/>
      <w:szCs w:val="20"/>
    </w:rPr>
  </w:style>
  <w:style w:type="character" w:customStyle="1" w:styleId="CommentTextChar">
    <w:name w:val="Comment Text Char"/>
    <w:basedOn w:val="DefaultParagraphFont"/>
    <w:link w:val="CommentText"/>
    <w:uiPriority w:val="99"/>
    <w:semiHidden/>
    <w:rsid w:val="000F1ECD"/>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1ECD"/>
    <w:rPr>
      <w:b/>
      <w:bCs/>
    </w:rPr>
  </w:style>
  <w:style w:type="character" w:customStyle="1" w:styleId="CommentSubjectChar">
    <w:name w:val="Comment Subject Char"/>
    <w:basedOn w:val="CommentTextChar"/>
    <w:link w:val="CommentSubject"/>
    <w:uiPriority w:val="99"/>
    <w:semiHidden/>
    <w:rsid w:val="000F1ECD"/>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0F1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CD"/>
    <w:rPr>
      <w:rFonts w:ascii="Segoe UI" w:eastAsiaTheme="minorEastAsia" w:hAnsi="Segoe UI" w:cs="Segoe UI"/>
      <w:sz w:val="18"/>
      <w:szCs w:val="18"/>
      <w:lang w:eastAsia="zh-CN"/>
    </w:rPr>
  </w:style>
  <w:style w:type="paragraph" w:styleId="EndnoteText">
    <w:name w:val="endnote text"/>
    <w:basedOn w:val="Normal"/>
    <w:link w:val="EndnoteTextChar"/>
    <w:uiPriority w:val="99"/>
    <w:unhideWhenUsed/>
    <w:rsid w:val="007E6F1B"/>
    <w:rPr>
      <w:rFonts w:asciiTheme="minorHAnsi" w:eastAsiaTheme="minorHAnsi" w:hAnsiTheme="minorHAnsi"/>
      <w:sz w:val="20"/>
      <w:szCs w:val="20"/>
      <w:lang w:eastAsia="en-US"/>
    </w:rPr>
  </w:style>
  <w:style w:type="character" w:customStyle="1" w:styleId="EndnoteTextChar">
    <w:name w:val="Endnote Text Char"/>
    <w:basedOn w:val="DefaultParagraphFont"/>
    <w:link w:val="EndnoteText"/>
    <w:uiPriority w:val="99"/>
    <w:rsid w:val="007E6F1B"/>
    <w:rPr>
      <w:sz w:val="20"/>
      <w:szCs w:val="20"/>
    </w:rPr>
  </w:style>
  <w:style w:type="character" w:styleId="EndnoteReference">
    <w:name w:val="endnote reference"/>
    <w:basedOn w:val="DefaultParagraphFont"/>
    <w:uiPriority w:val="99"/>
    <w:semiHidden/>
    <w:unhideWhenUsed/>
    <w:rsid w:val="007E6F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8"/>
    <w:pPr>
      <w:spacing w:after="0" w:line="240" w:lineRule="auto"/>
    </w:pPr>
    <w:rPr>
      <w:rFonts w:ascii="Times New Roman" w:eastAsiaTheme="minorEastAsia"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B48"/>
    <w:rPr>
      <w:color w:val="0563C1" w:themeColor="hyperlink"/>
      <w:u w:val="single"/>
    </w:rPr>
  </w:style>
  <w:style w:type="paragraph" w:styleId="FootnoteText">
    <w:name w:val="footnote text"/>
    <w:aliases w:val="Tablenote Text"/>
    <w:basedOn w:val="Normal"/>
    <w:link w:val="FootnoteTextChar"/>
    <w:uiPriority w:val="99"/>
    <w:qFormat/>
    <w:rsid w:val="00BE5B48"/>
    <w:rPr>
      <w:rFonts w:eastAsia="Times New Roman" w:cs="Times New Roman"/>
      <w:sz w:val="20"/>
      <w:szCs w:val="20"/>
      <w:lang w:eastAsia="en-US"/>
    </w:rPr>
  </w:style>
  <w:style w:type="character" w:customStyle="1" w:styleId="FootnoteTextChar">
    <w:name w:val="Footnote Text Char"/>
    <w:aliases w:val="Tablenote Text Char"/>
    <w:basedOn w:val="DefaultParagraphFont"/>
    <w:link w:val="FootnoteText"/>
    <w:uiPriority w:val="99"/>
    <w:rsid w:val="00BE5B48"/>
    <w:rPr>
      <w:rFonts w:ascii="Times New Roman" w:eastAsia="Times New Roman" w:hAnsi="Times New Roman" w:cs="Times New Roman"/>
      <w:sz w:val="20"/>
      <w:szCs w:val="20"/>
    </w:rPr>
  </w:style>
  <w:style w:type="character" w:styleId="FootnoteReference">
    <w:name w:val="footnote reference"/>
    <w:aliases w:val="callout"/>
    <w:basedOn w:val="DefaultParagraphFont"/>
    <w:uiPriority w:val="99"/>
    <w:rsid w:val="00BE5B48"/>
    <w:rPr>
      <w:vertAlign w:val="superscript"/>
    </w:rPr>
  </w:style>
  <w:style w:type="paragraph" w:styleId="ListParagraph">
    <w:name w:val="List Paragraph"/>
    <w:basedOn w:val="Normal"/>
    <w:uiPriority w:val="34"/>
    <w:qFormat/>
    <w:rsid w:val="00BE5B48"/>
    <w:pPr>
      <w:ind w:left="720"/>
      <w:contextualSpacing/>
    </w:pPr>
  </w:style>
  <w:style w:type="character" w:styleId="FollowedHyperlink">
    <w:name w:val="FollowedHyperlink"/>
    <w:basedOn w:val="DefaultParagraphFont"/>
    <w:uiPriority w:val="99"/>
    <w:semiHidden/>
    <w:unhideWhenUsed/>
    <w:rsid w:val="00552AA5"/>
    <w:rPr>
      <w:color w:val="954F72" w:themeColor="followedHyperlink"/>
      <w:u w:val="single"/>
    </w:rPr>
  </w:style>
  <w:style w:type="character" w:styleId="CommentReference">
    <w:name w:val="annotation reference"/>
    <w:basedOn w:val="DefaultParagraphFont"/>
    <w:uiPriority w:val="99"/>
    <w:unhideWhenUsed/>
    <w:rsid w:val="000F1ECD"/>
    <w:rPr>
      <w:sz w:val="16"/>
      <w:szCs w:val="16"/>
    </w:rPr>
  </w:style>
  <w:style w:type="paragraph" w:styleId="CommentText">
    <w:name w:val="annotation text"/>
    <w:basedOn w:val="Normal"/>
    <w:link w:val="CommentTextChar"/>
    <w:uiPriority w:val="99"/>
    <w:semiHidden/>
    <w:unhideWhenUsed/>
    <w:rsid w:val="000F1ECD"/>
    <w:rPr>
      <w:sz w:val="20"/>
      <w:szCs w:val="20"/>
    </w:rPr>
  </w:style>
  <w:style w:type="character" w:customStyle="1" w:styleId="CommentTextChar">
    <w:name w:val="Comment Text Char"/>
    <w:basedOn w:val="DefaultParagraphFont"/>
    <w:link w:val="CommentText"/>
    <w:uiPriority w:val="99"/>
    <w:semiHidden/>
    <w:rsid w:val="000F1ECD"/>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1ECD"/>
    <w:rPr>
      <w:b/>
      <w:bCs/>
    </w:rPr>
  </w:style>
  <w:style w:type="character" w:customStyle="1" w:styleId="CommentSubjectChar">
    <w:name w:val="Comment Subject Char"/>
    <w:basedOn w:val="CommentTextChar"/>
    <w:link w:val="CommentSubject"/>
    <w:uiPriority w:val="99"/>
    <w:semiHidden/>
    <w:rsid w:val="000F1ECD"/>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0F1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CD"/>
    <w:rPr>
      <w:rFonts w:ascii="Segoe UI" w:eastAsiaTheme="minorEastAsia" w:hAnsi="Segoe UI" w:cs="Segoe UI"/>
      <w:sz w:val="18"/>
      <w:szCs w:val="18"/>
      <w:lang w:eastAsia="zh-CN"/>
    </w:rPr>
  </w:style>
  <w:style w:type="paragraph" w:styleId="EndnoteText">
    <w:name w:val="endnote text"/>
    <w:basedOn w:val="Normal"/>
    <w:link w:val="EndnoteTextChar"/>
    <w:uiPriority w:val="99"/>
    <w:unhideWhenUsed/>
    <w:rsid w:val="007E6F1B"/>
    <w:rPr>
      <w:rFonts w:asciiTheme="minorHAnsi" w:eastAsiaTheme="minorHAnsi" w:hAnsiTheme="minorHAnsi"/>
      <w:sz w:val="20"/>
      <w:szCs w:val="20"/>
      <w:lang w:eastAsia="en-US"/>
    </w:rPr>
  </w:style>
  <w:style w:type="character" w:customStyle="1" w:styleId="EndnoteTextChar">
    <w:name w:val="Endnote Text Char"/>
    <w:basedOn w:val="DefaultParagraphFont"/>
    <w:link w:val="EndnoteText"/>
    <w:uiPriority w:val="99"/>
    <w:rsid w:val="007E6F1B"/>
    <w:rPr>
      <w:sz w:val="20"/>
      <w:szCs w:val="20"/>
    </w:rPr>
  </w:style>
  <w:style w:type="character" w:styleId="EndnoteReference">
    <w:name w:val="endnote reference"/>
    <w:basedOn w:val="DefaultParagraphFont"/>
    <w:uiPriority w:val="99"/>
    <w:semiHidden/>
    <w:unhideWhenUsed/>
    <w:rsid w:val="007E6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4258">
      <w:bodyDiv w:val="1"/>
      <w:marLeft w:val="0"/>
      <w:marRight w:val="0"/>
      <w:marTop w:val="0"/>
      <w:marBottom w:val="0"/>
      <w:divBdr>
        <w:top w:val="none" w:sz="0" w:space="0" w:color="auto"/>
        <w:left w:val="none" w:sz="0" w:space="0" w:color="auto"/>
        <w:bottom w:val="none" w:sz="0" w:space="0" w:color="auto"/>
        <w:right w:val="none" w:sz="0" w:space="0" w:color="auto"/>
      </w:divBdr>
    </w:div>
    <w:div w:id="312104980">
      <w:bodyDiv w:val="1"/>
      <w:marLeft w:val="0"/>
      <w:marRight w:val="0"/>
      <w:marTop w:val="0"/>
      <w:marBottom w:val="0"/>
      <w:divBdr>
        <w:top w:val="none" w:sz="0" w:space="0" w:color="auto"/>
        <w:left w:val="none" w:sz="0" w:space="0" w:color="auto"/>
        <w:bottom w:val="none" w:sz="0" w:space="0" w:color="auto"/>
        <w:right w:val="none" w:sz="0" w:space="0" w:color="auto"/>
      </w:divBdr>
    </w:div>
    <w:div w:id="446897362">
      <w:bodyDiv w:val="1"/>
      <w:marLeft w:val="0"/>
      <w:marRight w:val="0"/>
      <w:marTop w:val="0"/>
      <w:marBottom w:val="0"/>
      <w:divBdr>
        <w:top w:val="none" w:sz="0" w:space="0" w:color="auto"/>
        <w:left w:val="none" w:sz="0" w:space="0" w:color="auto"/>
        <w:bottom w:val="none" w:sz="0" w:space="0" w:color="auto"/>
        <w:right w:val="none" w:sz="0" w:space="0" w:color="auto"/>
      </w:divBdr>
    </w:div>
    <w:div w:id="501820368">
      <w:bodyDiv w:val="1"/>
      <w:marLeft w:val="0"/>
      <w:marRight w:val="0"/>
      <w:marTop w:val="0"/>
      <w:marBottom w:val="0"/>
      <w:divBdr>
        <w:top w:val="none" w:sz="0" w:space="0" w:color="auto"/>
        <w:left w:val="none" w:sz="0" w:space="0" w:color="auto"/>
        <w:bottom w:val="none" w:sz="0" w:space="0" w:color="auto"/>
        <w:right w:val="none" w:sz="0" w:space="0" w:color="auto"/>
      </w:divBdr>
    </w:div>
    <w:div w:id="1078409041">
      <w:bodyDiv w:val="1"/>
      <w:marLeft w:val="0"/>
      <w:marRight w:val="0"/>
      <w:marTop w:val="0"/>
      <w:marBottom w:val="0"/>
      <w:divBdr>
        <w:top w:val="none" w:sz="0" w:space="0" w:color="auto"/>
        <w:left w:val="none" w:sz="0" w:space="0" w:color="auto"/>
        <w:bottom w:val="none" w:sz="0" w:space="0" w:color="auto"/>
        <w:right w:val="none" w:sz="0" w:space="0" w:color="auto"/>
      </w:divBdr>
    </w:div>
    <w:div w:id="1134909798">
      <w:bodyDiv w:val="1"/>
      <w:marLeft w:val="0"/>
      <w:marRight w:val="0"/>
      <w:marTop w:val="0"/>
      <w:marBottom w:val="0"/>
      <w:divBdr>
        <w:top w:val="none" w:sz="0" w:space="0" w:color="auto"/>
        <w:left w:val="none" w:sz="0" w:space="0" w:color="auto"/>
        <w:bottom w:val="none" w:sz="0" w:space="0" w:color="auto"/>
        <w:right w:val="none" w:sz="0" w:space="0" w:color="auto"/>
      </w:divBdr>
    </w:div>
    <w:div w:id="15128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path.org/publications/soc" TargetMode="External"/><Relationship Id="rId12" Type="http://schemas.openxmlformats.org/officeDocument/2006/relationships/hyperlink" Target="https://www.wpath.org/media/cms/Documents/Web%20Transfer/Policies/WPATH-Position-on-Medical-Necessity-12-21-2016.pdf" TargetMode="External"/><Relationship Id="rId13" Type="http://schemas.openxmlformats.org/officeDocument/2006/relationships/hyperlink" Target="https://www.aclu.org/legal-document/eeoc-v-rg-gr-harris-funeral-homes-ruling" TargetMode="External"/><Relationship Id="rId14" Type="http://schemas.openxmlformats.org/officeDocument/2006/relationships/hyperlink" Target="https://transequality.org/federal-case-law-on-transgender-people-and-discrimin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path.org/site_page.cfm?pk_association_webpage_menu=1351&amp;pk_association_webpage=4655" TargetMode="External"/><Relationship Id="rId32" Type="http://schemas.microsoft.com/office/2011/relationships/people" Target="people.xml"/><Relationship Id="rId33" Type="http://schemas.microsoft.com/office/2011/relationships/commentsExtended" Target="commentsExtended.xml"/><Relationship Id="rId10" Type="http://schemas.openxmlformats.org/officeDocument/2006/relationships/hyperlink" Target="https://www.wpath.org/media/cms/Documents/Web%20Transfer/Policies/WPATH-Position-on-Medical-Necessity-12-21-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ambdalegal.org/sites/default/files/publications/downloads/ll_trans_professional_statements_17.pdf" TargetMode="External"/><Relationship Id="rId2" Type="http://schemas.openxmlformats.org/officeDocument/2006/relationships/hyperlink" Target="https://transcendlegal.org/medical-organization-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780F7-06FF-1A43-B3BD-B60E5356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Athayde-Rizzaro</dc:creator>
  <cp:keywords/>
  <dc:description/>
  <cp:lastModifiedBy>Jared Seltzer</cp:lastModifiedBy>
  <cp:revision>2</cp:revision>
  <dcterms:created xsi:type="dcterms:W3CDTF">2019-02-07T19:37:00Z</dcterms:created>
  <dcterms:modified xsi:type="dcterms:W3CDTF">2019-02-07T19:37:00Z</dcterms:modified>
</cp:coreProperties>
</file>